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464740A3" w14:textId="77777777" w:rsidR="00DE5ED3" w:rsidRPr="00D9565A" w:rsidRDefault="00DE5ED3" w:rsidP="00DE5ED3">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 xml:space="preserve">48/14  </w:t>
      </w:r>
      <w:r>
        <w:rPr>
          <w:rFonts w:ascii="Arial" w:hAnsi="Arial"/>
          <w:b/>
          <w:bCs/>
          <w:sz w:val="28"/>
          <w:szCs w:val="28"/>
          <w:u w:val="single"/>
          <w:rtl/>
        </w:rPr>
        <w:t>ל</w:t>
      </w:r>
      <w:r>
        <w:rPr>
          <w:rFonts w:ascii="Arial" w:hAnsi="Arial" w:hint="cs"/>
          <w:b/>
          <w:bCs/>
          <w:sz w:val="28"/>
          <w:szCs w:val="28"/>
          <w:u w:val="single"/>
          <w:rtl/>
        </w:rPr>
        <w:t xml:space="preserve">קבלת </w:t>
      </w:r>
      <w:r w:rsidRPr="00D9565A">
        <w:rPr>
          <w:rFonts w:ascii="Arial" w:hAnsi="Arial"/>
          <w:b/>
          <w:bCs/>
          <w:sz w:val="28"/>
          <w:szCs w:val="28"/>
          <w:u w:val="single"/>
          <w:rtl/>
        </w:rPr>
        <w:t xml:space="preserve">שירותי </w:t>
      </w:r>
      <w:r w:rsidRPr="00D9565A">
        <w:rPr>
          <w:rFonts w:hint="eastAsia"/>
          <w:b/>
          <w:bCs/>
          <w:sz w:val="28"/>
          <w:szCs w:val="28"/>
          <w:u w:val="single"/>
          <w:rtl/>
        </w:rPr>
        <w:t>ייעוץ</w:t>
      </w:r>
      <w:r w:rsidRPr="00D9565A">
        <w:rPr>
          <w:b/>
          <w:bCs/>
          <w:sz w:val="28"/>
          <w:szCs w:val="28"/>
          <w:u w:val="single"/>
          <w:rtl/>
        </w:rPr>
        <w:t xml:space="preserve"> </w:t>
      </w:r>
      <w:r>
        <w:rPr>
          <w:rFonts w:ascii="Arial" w:hAnsi="Arial" w:hint="cs"/>
          <w:b/>
          <w:bCs/>
          <w:sz w:val="28"/>
          <w:szCs w:val="28"/>
          <w:u w:val="single"/>
          <w:rtl/>
        </w:rPr>
        <w:t>ל</w:t>
      </w:r>
      <w:r w:rsidRPr="00BE43DB">
        <w:rPr>
          <w:rFonts w:ascii="Arial" w:hAnsi="Arial" w:hint="cs"/>
          <w:b/>
          <w:bCs/>
          <w:sz w:val="28"/>
          <w:szCs w:val="28"/>
          <w:u w:val="single"/>
          <w:rtl/>
        </w:rPr>
        <w:t xml:space="preserve">התקשרות עם ספק מיקור חוץ </w:t>
      </w:r>
      <w:r>
        <w:rPr>
          <w:rFonts w:ascii="Arial" w:hAnsi="Arial" w:hint="cs"/>
          <w:b/>
          <w:bCs/>
          <w:sz w:val="28"/>
          <w:szCs w:val="28"/>
          <w:u w:val="single"/>
          <w:rtl/>
        </w:rPr>
        <w:t>ו</w:t>
      </w:r>
      <w:r w:rsidRPr="00BE43DB">
        <w:rPr>
          <w:rFonts w:ascii="Arial" w:hAnsi="Arial" w:hint="cs"/>
          <w:b/>
          <w:bCs/>
          <w:sz w:val="28"/>
          <w:szCs w:val="28"/>
          <w:u w:val="single"/>
          <w:rtl/>
        </w:rPr>
        <w:t xml:space="preserve">להקמת </w:t>
      </w:r>
      <w:r w:rsidRPr="00794C57">
        <w:rPr>
          <w:rFonts w:ascii="Arial" w:hAnsi="Arial" w:hint="cs"/>
          <w:b/>
          <w:bCs/>
          <w:sz w:val="28"/>
          <w:szCs w:val="28"/>
          <w:u w:val="single"/>
          <w:rtl/>
        </w:rPr>
        <w:t>מרכז מידע לאומי לנפט וגז במשרד התשתיות הלאומיות</w:t>
      </w:r>
      <w:r w:rsidRPr="00794C57">
        <w:rPr>
          <w:rFonts w:hint="cs"/>
          <w:b/>
          <w:bCs/>
          <w:sz w:val="28"/>
          <w:szCs w:val="28"/>
          <w:u w:val="single"/>
          <w:rtl/>
        </w:rPr>
        <w:t xml:space="preserve"> ה</w:t>
      </w:r>
      <w:r w:rsidRPr="00794C57">
        <w:rPr>
          <w:rFonts w:hint="eastAsia"/>
          <w:b/>
          <w:bCs/>
          <w:sz w:val="28"/>
          <w:szCs w:val="28"/>
          <w:u w:val="single"/>
          <w:rtl/>
        </w:rPr>
        <w:t>אנרגיה</w:t>
      </w:r>
      <w:r w:rsidRPr="00794C57">
        <w:rPr>
          <w:b/>
          <w:bCs/>
          <w:sz w:val="28"/>
          <w:szCs w:val="28"/>
          <w:u w:val="single"/>
          <w:rtl/>
        </w:rPr>
        <w:t xml:space="preserve"> </w:t>
      </w:r>
      <w:r w:rsidRPr="00794C57">
        <w:rPr>
          <w:rFonts w:hint="eastAsia"/>
          <w:b/>
          <w:bCs/>
          <w:sz w:val="28"/>
          <w:szCs w:val="28"/>
          <w:u w:val="single"/>
          <w:rtl/>
        </w:rPr>
        <w:t>והמים</w:t>
      </w:r>
    </w:p>
    <w:p w14:paraId="20DEAA30" w14:textId="7DCD4118" w:rsidR="00F4419B" w:rsidRPr="00F4419B" w:rsidRDefault="00F4419B" w:rsidP="00DE5ED3">
      <w:pPr>
        <w:spacing w:line="360" w:lineRule="auto"/>
        <w:contextualSpacing/>
        <w:jc w:val="center"/>
        <w:rPr>
          <w:b/>
          <w:bCs/>
          <w:szCs w:val="24"/>
          <w:u w:val="single"/>
          <w:rtl/>
        </w:rPr>
      </w:pPr>
    </w:p>
    <w:p w14:paraId="0D6349FD" w14:textId="47B5F778" w:rsidR="00DE5ED3" w:rsidRPr="00BE43DB" w:rsidRDefault="00DE5ED3" w:rsidP="00DE5ED3">
      <w:pPr>
        <w:spacing w:line="360" w:lineRule="auto"/>
        <w:ind w:left="27" w:right="480"/>
        <w:jc w:val="both"/>
        <w:rPr>
          <w:rFonts w:ascii="Arial" w:hAnsi="Arial"/>
          <w:szCs w:val="24"/>
          <w:rtl/>
        </w:rPr>
      </w:pPr>
      <w:r w:rsidRPr="00794C57">
        <w:rPr>
          <w:rFonts w:ascii="Arial" w:hAnsi="Arial"/>
          <w:szCs w:val="24"/>
          <w:rtl/>
        </w:rPr>
        <w:t>משרד</w:t>
      </w:r>
      <w:r w:rsidRPr="00794C57">
        <w:rPr>
          <w:rFonts w:ascii="Arial" w:hAnsi="Arial" w:hint="cs"/>
          <w:szCs w:val="24"/>
          <w:rtl/>
        </w:rPr>
        <w:t xml:space="preserve"> התשתיות הלאומיות,</w:t>
      </w:r>
      <w:r w:rsidRPr="00794C57">
        <w:rPr>
          <w:rFonts w:ascii="Arial" w:hAnsi="Arial"/>
          <w:szCs w:val="24"/>
          <w:rtl/>
        </w:rPr>
        <w:t xml:space="preserve"> </w:t>
      </w:r>
      <w:r w:rsidRPr="00794C57">
        <w:rPr>
          <w:rFonts w:ascii="Arial" w:hAnsi="Arial" w:hint="cs"/>
          <w:szCs w:val="24"/>
          <w:rtl/>
        </w:rPr>
        <w:t>האנרגיה והמים באמצעות</w:t>
      </w:r>
      <w:r w:rsidRPr="00794C57">
        <w:rPr>
          <w:rFonts w:ascii="Arial" w:hAnsi="Arial"/>
          <w:szCs w:val="24"/>
          <w:rtl/>
        </w:rPr>
        <w:t xml:space="preserve"> </w:t>
      </w:r>
      <w:r w:rsidRPr="00794C57">
        <w:rPr>
          <w:rFonts w:ascii="Arial" w:hAnsi="Arial" w:hint="cs"/>
          <w:b/>
          <w:bCs/>
          <w:szCs w:val="24"/>
          <w:rtl/>
        </w:rPr>
        <w:t>מ</w:t>
      </w:r>
      <w:r>
        <w:rPr>
          <w:rFonts w:ascii="Arial" w:hAnsi="Arial" w:hint="cs"/>
          <w:b/>
          <w:bCs/>
          <w:szCs w:val="24"/>
          <w:rtl/>
        </w:rPr>
        <w:t>י</w:t>
      </w:r>
      <w:r w:rsidRPr="00794C57">
        <w:rPr>
          <w:rFonts w:ascii="Arial" w:hAnsi="Arial" w:hint="cs"/>
          <w:b/>
          <w:bCs/>
          <w:szCs w:val="24"/>
          <w:rtl/>
        </w:rPr>
        <w:t>נהל אוצרות טבע</w:t>
      </w:r>
      <w:r>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BE43DB">
        <w:rPr>
          <w:rFonts w:ascii="Arial" w:hAnsi="Arial" w:hint="cs"/>
          <w:szCs w:val="24"/>
          <w:rtl/>
        </w:rPr>
        <w:t>לגיבוש המפרט הטכני, הכנת מסמכי מכרז והתקשרות עם ספק מיקור חוץ להקמת מרכז מידע לאומי לנפט וגז במשרד התשתיות הלאומיות, האנרגיה והמים</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w:t>
      </w:r>
    </w:p>
    <w:p w14:paraId="7429B29F" w14:textId="77777777" w:rsidR="00EC42CC" w:rsidRDefault="00EC42CC" w:rsidP="00BC1CFE">
      <w:pPr>
        <w:pStyle w:val="ad"/>
        <w:spacing w:line="276" w:lineRule="auto"/>
        <w:ind w:left="0"/>
        <w:jc w:val="both"/>
        <w:rPr>
          <w:rFonts w:ascii="Arial" w:hAnsi="Arial"/>
          <w:szCs w:val="24"/>
          <w:rtl/>
        </w:rPr>
      </w:pPr>
    </w:p>
    <w:p w14:paraId="7429B2A0" w14:textId="77777777" w:rsidR="004F653F" w:rsidRPr="00CE0736" w:rsidRDefault="004F653F" w:rsidP="004F653F">
      <w:pPr>
        <w:tabs>
          <w:tab w:val="left" w:pos="8312"/>
        </w:tabs>
        <w:spacing w:line="276" w:lineRule="auto"/>
        <w:jc w:val="both"/>
        <w:rPr>
          <w:b/>
          <w:bCs/>
          <w:sz w:val="22"/>
          <w:szCs w:val="22"/>
          <w:u w:val="single"/>
          <w:rtl/>
        </w:rPr>
      </w:pPr>
      <w:r w:rsidRPr="00CE0736">
        <w:rPr>
          <w:rFonts w:hint="cs"/>
          <w:b/>
          <w:bCs/>
          <w:sz w:val="22"/>
          <w:szCs w:val="22"/>
          <w:u w:val="single"/>
          <w:rtl/>
        </w:rPr>
        <w:t>כללי</w:t>
      </w:r>
    </w:p>
    <w:p w14:paraId="7429B2A1" w14:textId="1AF0F5ED" w:rsidR="004F653F" w:rsidRPr="00CE0736" w:rsidRDefault="004F653F" w:rsidP="00D3169D">
      <w:pPr>
        <w:tabs>
          <w:tab w:val="left" w:pos="8312"/>
        </w:tabs>
        <w:spacing w:line="276" w:lineRule="auto"/>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Pr>
          <w:rFonts w:hint="cs"/>
          <w:b/>
          <w:bCs/>
          <w:szCs w:val="24"/>
          <w:rtl/>
        </w:rPr>
        <w:t>-</w:t>
      </w:r>
      <w:r w:rsidR="008B7870">
        <w:rPr>
          <w:rFonts w:hint="cs"/>
          <w:b/>
          <w:bCs/>
          <w:szCs w:val="24"/>
          <w:rtl/>
        </w:rPr>
        <w:t>12</w:t>
      </w:r>
      <w:r>
        <w:rPr>
          <w:rFonts w:hint="cs"/>
          <w:b/>
          <w:bCs/>
          <w:szCs w:val="24"/>
          <w:rtl/>
        </w:rPr>
        <w:t xml:space="preserve"> חודשים</w:t>
      </w:r>
      <w:r w:rsidRPr="00CE0736">
        <w:rPr>
          <w:rFonts w:hint="cs"/>
          <w:szCs w:val="24"/>
          <w:rtl/>
        </w:rPr>
        <w:t xml:space="preserve"> ממועד כניסתו לתוקף של ההסכם</w:t>
      </w:r>
      <w:r w:rsidR="00D3169D">
        <w:rPr>
          <w:rFonts w:hint="cs"/>
          <w:szCs w:val="24"/>
          <w:rtl/>
        </w:rPr>
        <w:t xml:space="preserve">. </w:t>
      </w:r>
      <w:r w:rsidRPr="00CE0736">
        <w:rPr>
          <w:rFonts w:hint="cs"/>
          <w:szCs w:val="24"/>
          <w:rtl/>
        </w:rPr>
        <w:t>למשרד בלבד שמורה הזכות להאריך או לה</w:t>
      </w:r>
      <w:r w:rsidR="006131E8">
        <w:rPr>
          <w:rFonts w:hint="cs"/>
          <w:szCs w:val="24"/>
          <w:rtl/>
        </w:rPr>
        <w:t>רחיב את ההתקשות לתקופות נוספות, תקופת ההסכם לא תעלה על 3 שנים.</w:t>
      </w:r>
    </w:p>
    <w:p w14:paraId="7429B2A2" w14:textId="77777777" w:rsidR="004F653F" w:rsidRPr="00CE0736" w:rsidRDefault="004F653F" w:rsidP="004F653F">
      <w:pPr>
        <w:spacing w:line="276" w:lineRule="auto"/>
        <w:contextualSpacing/>
        <w:jc w:val="both"/>
        <w:rPr>
          <w:sz w:val="22"/>
          <w:szCs w:val="22"/>
          <w:rtl/>
        </w:rPr>
      </w:pPr>
    </w:p>
    <w:p w14:paraId="7429B2A3" w14:textId="77777777" w:rsidR="004F653F" w:rsidRPr="00CE0736" w:rsidRDefault="004F653F" w:rsidP="004F653F">
      <w:pPr>
        <w:spacing w:line="276" w:lineRule="auto"/>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Pr="00CE0736">
        <w:rPr>
          <w:rFonts w:hint="cs"/>
          <w:szCs w:val="24"/>
          <w:rtl/>
        </w:rPr>
        <w:t>.</w:t>
      </w:r>
    </w:p>
    <w:p w14:paraId="7429B2A4" w14:textId="77777777" w:rsidR="004F653F" w:rsidRPr="00CE0736" w:rsidRDefault="004F653F" w:rsidP="004F653F">
      <w:pPr>
        <w:spacing w:line="276" w:lineRule="auto"/>
        <w:jc w:val="both"/>
        <w:rPr>
          <w:sz w:val="22"/>
          <w:szCs w:val="22"/>
          <w:rtl/>
        </w:rPr>
      </w:pPr>
    </w:p>
    <w:p w14:paraId="7429B2A5" w14:textId="0E2801F5" w:rsidR="004F653F" w:rsidRPr="00A5459A" w:rsidRDefault="004F653F" w:rsidP="006131E8">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6131E8">
        <w:rPr>
          <w:rFonts w:hint="cs"/>
          <w:b/>
          <w:bCs/>
          <w:szCs w:val="24"/>
          <w:u w:val="single"/>
          <w:rtl/>
        </w:rPr>
        <w:t>20.10.14</w:t>
      </w:r>
      <w:r w:rsidR="00D3169D">
        <w:rPr>
          <w:rFonts w:hint="cs"/>
          <w:b/>
          <w:bCs/>
          <w:szCs w:val="24"/>
          <w:u w:val="single"/>
          <w:rtl/>
        </w:rPr>
        <w:t xml:space="preserve"> </w:t>
      </w:r>
      <w:r w:rsidRPr="00A5459A">
        <w:rPr>
          <w:rFonts w:hint="cs"/>
          <w:b/>
          <w:bCs/>
          <w:szCs w:val="24"/>
          <w:u w:val="single"/>
          <w:rtl/>
        </w:rPr>
        <w:t>בשעה 14:00.</w:t>
      </w:r>
    </w:p>
    <w:p w14:paraId="7429B2A6" w14:textId="77777777" w:rsidR="004F653F" w:rsidRPr="00A5459A" w:rsidRDefault="004F653F" w:rsidP="004F653F">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A5459A" w:rsidRDefault="004F653F" w:rsidP="004F653F">
      <w:pPr>
        <w:spacing w:line="276" w:lineRule="auto"/>
        <w:jc w:val="both"/>
        <w:rPr>
          <w:szCs w:val="24"/>
        </w:rPr>
      </w:pPr>
    </w:p>
    <w:p w14:paraId="7429B2A8" w14:textId="77777777" w:rsidR="004F653F" w:rsidRPr="00A5459A" w:rsidRDefault="004F653F" w:rsidP="004F653F">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14:paraId="7429B2A9" w14:textId="77777777" w:rsidR="00EC42CC" w:rsidRDefault="00EC42CC" w:rsidP="004F653F">
      <w:pPr>
        <w:spacing w:line="276" w:lineRule="auto"/>
        <w:jc w:val="both"/>
        <w:rPr>
          <w:szCs w:val="24"/>
          <w:rtl/>
        </w:rPr>
      </w:pPr>
    </w:p>
    <w:p w14:paraId="7429B2AD" w14:textId="77777777" w:rsidR="004F653F" w:rsidRPr="00A5459A" w:rsidRDefault="004F653F" w:rsidP="004F653F">
      <w:pPr>
        <w:spacing w:line="276" w:lineRule="auto"/>
        <w:jc w:val="both"/>
        <w:rPr>
          <w:szCs w:val="24"/>
          <w:rtl/>
        </w:rPr>
      </w:pPr>
      <w:r w:rsidRPr="00A5459A">
        <w:rPr>
          <w:rFonts w:hint="cs"/>
          <w:b/>
          <w:bCs/>
          <w:szCs w:val="24"/>
          <w:u w:val="single"/>
          <w:rtl/>
        </w:rPr>
        <w:t>שאלות והבהרות</w:t>
      </w:r>
    </w:p>
    <w:p w14:paraId="7429B2AE" w14:textId="07846403" w:rsidR="004F653F" w:rsidRPr="00A5459A" w:rsidRDefault="004F653F" w:rsidP="006131E8">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6131E8">
        <w:rPr>
          <w:rFonts w:hint="cs"/>
          <w:b/>
          <w:bCs/>
          <w:szCs w:val="24"/>
          <w:u w:val="single"/>
          <w:rtl/>
        </w:rPr>
        <w:t>11</w:t>
      </w:r>
      <w:r w:rsidR="00D3169D">
        <w:rPr>
          <w:rFonts w:hint="cs"/>
          <w:b/>
          <w:bCs/>
          <w:szCs w:val="24"/>
          <w:u w:val="single"/>
          <w:rtl/>
        </w:rPr>
        <w:t>.</w:t>
      </w:r>
      <w:r w:rsidR="006131E8">
        <w:rPr>
          <w:rFonts w:hint="cs"/>
          <w:b/>
          <w:bCs/>
          <w:szCs w:val="24"/>
          <w:u w:val="single"/>
          <w:rtl/>
        </w:rPr>
        <w:t>9</w:t>
      </w:r>
      <w:r w:rsidR="00D3169D">
        <w:rPr>
          <w:rFonts w:hint="cs"/>
          <w:b/>
          <w:bCs/>
          <w:szCs w:val="24"/>
          <w:u w:val="single"/>
          <w:rtl/>
        </w:rPr>
        <w:t>.14</w:t>
      </w:r>
      <w:r w:rsidR="00EC42CC">
        <w:rPr>
          <w:rFonts w:hint="cs"/>
          <w:b/>
          <w:bCs/>
          <w:szCs w:val="24"/>
          <w:u w:val="single"/>
          <w:rtl/>
        </w:rPr>
        <w:t xml:space="preserve"> </w:t>
      </w:r>
      <w:r>
        <w:rPr>
          <w:rFonts w:hint="cs"/>
          <w:b/>
          <w:bCs/>
          <w:szCs w:val="24"/>
          <w:u w:val="single"/>
          <w:rtl/>
        </w:rPr>
        <w:t>ב</w:t>
      </w:r>
      <w:r w:rsidRPr="00A5459A">
        <w:rPr>
          <w:rFonts w:hint="cs"/>
          <w:b/>
          <w:bCs/>
          <w:szCs w:val="24"/>
          <w:u w:val="single"/>
          <w:rtl/>
        </w:rPr>
        <w:t>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w:t>
      </w:r>
      <w:r>
        <w:rPr>
          <w:rFonts w:hint="cs"/>
          <w:szCs w:val="24"/>
        </w:rPr>
        <w:t>R</w:t>
      </w:r>
      <w:r w:rsidRPr="00A5459A">
        <w:rPr>
          <w:rFonts w:hint="cs"/>
          <w:szCs w:val="24"/>
        </w:rPr>
        <w:t>D</w:t>
      </w:r>
      <w:r w:rsidRPr="00A5459A">
        <w:rPr>
          <w:rFonts w:hint="cs"/>
          <w:szCs w:val="24"/>
          <w:rtl/>
        </w:rPr>
        <w:t xml:space="preserve"> בלבד, המשרד לא ישיב שאלות שיגיעו לאחר מועד אחרון זה.</w:t>
      </w:r>
    </w:p>
    <w:p w14:paraId="7429B2AF" w14:textId="22DE03A7" w:rsidR="004F653F" w:rsidRPr="00A5459A" w:rsidRDefault="004F653F" w:rsidP="006131E8">
      <w:pPr>
        <w:tabs>
          <w:tab w:val="left" w:pos="9355"/>
        </w:tabs>
        <w:spacing w:line="276" w:lineRule="auto"/>
        <w:ind w:left="-1"/>
        <w:jc w:val="both"/>
        <w:rPr>
          <w:szCs w:val="24"/>
          <w:rtl/>
        </w:rPr>
      </w:pPr>
      <w:r w:rsidRPr="00A5459A">
        <w:rPr>
          <w:rFonts w:hint="cs"/>
          <w:szCs w:val="24"/>
          <w:rtl/>
        </w:rPr>
        <w:t>ריכוז השאלות והתשובות יפורסמו באתר הרכש הממשלתי ובאתר האינטרנט של המשרד החל מיום</w:t>
      </w:r>
      <w:r>
        <w:rPr>
          <w:rFonts w:hint="cs"/>
          <w:szCs w:val="24"/>
          <w:rtl/>
        </w:rPr>
        <w:t xml:space="preserve"> </w:t>
      </w:r>
      <w:r w:rsidR="006131E8">
        <w:rPr>
          <w:rFonts w:hint="cs"/>
          <w:b/>
          <w:bCs/>
          <w:szCs w:val="24"/>
          <w:u w:val="single"/>
          <w:rtl/>
        </w:rPr>
        <w:t>23</w:t>
      </w:r>
      <w:r w:rsidR="00D3169D">
        <w:rPr>
          <w:rFonts w:hint="cs"/>
          <w:b/>
          <w:bCs/>
          <w:szCs w:val="24"/>
          <w:u w:val="single"/>
          <w:rtl/>
        </w:rPr>
        <w:t>.9.14</w:t>
      </w:r>
      <w:r w:rsidR="00BC1CFE">
        <w:rPr>
          <w:rFonts w:hint="cs"/>
          <w:b/>
          <w:bCs/>
          <w:szCs w:val="24"/>
          <w:u w:val="single"/>
          <w:rtl/>
        </w:rPr>
        <w:t xml:space="preserve"> </w:t>
      </w:r>
      <w:r w:rsidRPr="00A5459A">
        <w:rPr>
          <w:rFonts w:hint="cs"/>
          <w:szCs w:val="24"/>
          <w:rtl/>
        </w:rPr>
        <w:t>והן יהוו חלק בלתי נפרד ממסמכי המכרז ויחייבו את כל המציעים.</w:t>
      </w:r>
    </w:p>
    <w:p w14:paraId="7429B2B0" w14:textId="77777777" w:rsidR="004F653F" w:rsidRPr="00A5459A" w:rsidRDefault="004F653F" w:rsidP="004F653F">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Default="004A3F25" w:rsidP="007F6C9A">
      <w:pPr>
        <w:tabs>
          <w:tab w:val="left" w:pos="6469"/>
          <w:tab w:val="center" w:pos="7178"/>
        </w:tabs>
        <w:jc w:val="both"/>
        <w:rPr>
          <w:sz w:val="22"/>
          <w:szCs w:val="22"/>
          <w:rtl/>
        </w:rPr>
      </w:pPr>
    </w:p>
    <w:p w14:paraId="7429B2B2" w14:textId="77777777" w:rsidR="004A3F25" w:rsidRDefault="004A3F25" w:rsidP="007F6C9A">
      <w:pPr>
        <w:tabs>
          <w:tab w:val="left" w:pos="6469"/>
          <w:tab w:val="center" w:pos="7178"/>
        </w:tabs>
        <w:jc w:val="both"/>
        <w:rPr>
          <w:sz w:val="22"/>
          <w:szCs w:val="22"/>
          <w:rtl/>
        </w:rPr>
      </w:pPr>
    </w:p>
    <w:p w14:paraId="7429B2B3" w14:textId="77777777" w:rsidR="004A3F25" w:rsidRDefault="004A3F25" w:rsidP="007F6C9A">
      <w:pPr>
        <w:tabs>
          <w:tab w:val="left" w:pos="6469"/>
          <w:tab w:val="center" w:pos="7178"/>
        </w:tabs>
        <w:jc w:val="both"/>
        <w:rPr>
          <w:sz w:val="22"/>
          <w:szCs w:val="22"/>
          <w:rtl/>
        </w:rPr>
      </w:pPr>
    </w:p>
    <w:p w14:paraId="7429B2B4" w14:textId="77777777" w:rsidR="004A3F25" w:rsidRDefault="00A364F7" w:rsidP="004A3F25">
      <w:pPr>
        <w:tabs>
          <w:tab w:val="left" w:pos="6469"/>
          <w:tab w:val="center" w:pos="7178"/>
        </w:tabs>
        <w:jc w:val="right"/>
        <w:rPr>
          <w:sz w:val="22"/>
          <w:szCs w:val="22"/>
          <w:rtl/>
        </w:rPr>
      </w:pPr>
      <w:r w:rsidRPr="007F6C9A">
        <w:rPr>
          <w:sz w:val="22"/>
          <w:szCs w:val="22"/>
          <w:rtl/>
        </w:rPr>
        <w:t>בברכה,</w:t>
      </w:r>
      <w:r w:rsidR="007F6C9A">
        <w:rPr>
          <w:sz w:val="22"/>
          <w:szCs w:val="22"/>
        </w:rPr>
        <w:t xml:space="preserve"> </w:t>
      </w:r>
    </w:p>
    <w:p w14:paraId="7429B2B5" w14:textId="77777777" w:rsidR="00A364F7" w:rsidRPr="00FD6C2A" w:rsidRDefault="00A364F7" w:rsidP="004A3F25">
      <w:pPr>
        <w:tabs>
          <w:tab w:val="left" w:pos="6469"/>
          <w:tab w:val="center" w:pos="7178"/>
        </w:tabs>
        <w:jc w:val="right"/>
        <w:rPr>
          <w:szCs w:val="24"/>
          <w:rtl/>
        </w:rPr>
      </w:pP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6E2CD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80957"/>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חת_406_2014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באוגוסט 2014</DocumentCreateDateEnglish>
    <DocumentCreateDateHebrew xmlns="8f5b83e0-a1d3-486c-bd07-833a425c74af">כ"ד באב התשע"ד</DocumentCreateDateHebrew>
    <SubjectDocument xmlns="8f5b83e0-a1d3-486c-bd07-833a425c74af">מכרז פומבי 48/14 לקבלת שירותי ייעוץ להתקשרות עם ספק מיקור חוץ להקמת מרכז מידע לאומי לנפט וגז במשרד התשתיות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20/08/2014 04:45;37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406</CounterString>
    <LastLockUser xmlns="8f5b83e0-a1d3-486c-bd07-833a425c74af" xsi:nil="true"/>
    <LastCheckOutDate xmlns="8f5b83e0-a1d3-486c-bd07-833a425c74af">20/08/2014 04:28;26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HT_406_2014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2014-08-20T00:00:00+00:00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elements/1.1/"/>
    <ds:schemaRef ds:uri="8f5b83e0-a1d3-486c-bd07-833a425c74af"/>
    <ds:schemaRef ds:uri="http://www.w3.org/XML/1998/namespace"/>
    <ds:schemaRef ds:uri="http://purl.org/dc/dcmitype/"/>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1C89063-1EE4-4DD7-9B65-14285913E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1646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2014-08-17T14:29:00Z</cp:lastPrinted>
  <dcterms:created xsi:type="dcterms:W3CDTF">2014-08-21T08:56:00Z</dcterms:created>
  <dcterms:modified xsi:type="dcterms:W3CDTF">2014-08-21T08:56:00Z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